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Ecologia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di interventi manutentivi del verde pubblico; della gestione del Servizio di nettezza urbana o dell'appalto del servizio; delle convenzioni con i consorzi obbligatori per la raccolta differenziata; delle procedure di bonifica e rilascio della relativa autorizzazione; dell'inquinamenti dell'aria e dell'acqua; della disinfestazione.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acustico: Autorizzazione in deroga per i cantieri edili - stradali - industriali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acustico: Autorizzazione in deroga per manifestazioni temporanee rumorose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integrata ambientale - AIA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Modifica non sostanziale di impianti gia' in possesso di autorizzazione integrata ambientale - AIA - Autorizzazione/Silenzio 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Voltura autorizzazione integrata ambientale - AIA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Valutazione o verifica di assoggettabilita' a impatto ambientale - VIA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unica ambientale - AUA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Modifica sostanziale di impianto AUA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Rinnovo autorizzazione unica ambientale - AUA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stabilimento che produce emissioni (installazione/trasferimento/modifica sostanziale/rinnovo autorizzazione alle emissioni in atmosfera)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messa in esercizio dello stabilimento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modifica non sostanziale dello stabilimento - autorizzazione/silenzio 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stabilimento in cui sono presenti esclusivamente impianti e attivita' in deroga parte II, allegato IV, D. Lgs. 152/2006 (installazione/modifica ) - autorizzazione/silenzio-assenso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esposizione luminarie e/o addobbi esterni elettrificati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idrico: Autorizzazioni a scarichi civili esistenti, non allacciati alla pubblica fognatura, confluenti in acque superficiali, suolo o sottosuolo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idrico: Autorizzazione allacciamento alla pubblica fognatura per stabili di civile abitazione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all'impiego e/o alla custodia di gas tossici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elettromagnetico: Autorizzazione per impianti di telefonia mobile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Attestazione prevista dalla nota dell'Agenzia delle Dogane, Prot. 41017 del 12/04/2010, di ubicazione immobile in zona non metanizzata ai fini dell'applicazione della L. 448/1998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Isole ecologiche: controllo servizio di raccolta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rispetto limiti emissioni sonore per pubblici esercizi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Bonifica rimozione cemento-amianto: concessione contributi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Progetto Operativo degli Interventi di Bonifica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Bonifica e ripristino di aree contaminate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luminoso: bonifica degli impianti di illuminazione esterna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Indagine ambientale preliminare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della Caratterizzazione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 utilizzo - Materiali di scarico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esercizio e manutenzione degli impianti termici civili e loro rendimento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Classificazione industrie insalubri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per attivita' ambientali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di occupazione suolo pubblico in aree verdi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Adozione di aree a verde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su progetto per la gestione ed il trattamento e lo smaltimento dei rifiuti da rendere a Enti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Provvedimento per l'esecuzione d'ufficio in caso di mancata ottemperanza da parte dei destinatari a quanto precedentemente ordinato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Sospensione attivita'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Permesso d'accesso al centro raccolta rifiuti utenze non domestiche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Dati e statistiche sullo stato dell'ambiente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pulizia idraulica sui corsi d'acqua appartenenti al reticolo idrico minore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Conferimento rifuti differenziati presso i centri di raccolta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Richieste verifiche distanze cassonetti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Verifiche superfici immobili soggetti a tariffa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Verifica contabile del recupero di rifiuti assimilati delle imprese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Tessere per accesso ai centri di raccolta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Scarico in fognatura acque meteoriche e richiesta dichiarazione assenza fognatura per scarico nel suolo utenze domestiche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stabilimento in cui sono presenti esclusivamente impianti e attivita' in deroga parte II, allegato IV, D. Lgs. 152/2006 (installazione/modifica ) - autorizzazione/silenzio-assenso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Ecologia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