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Consiglio comunale e commissioni consiliari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Statuti dell'ente e delle aziende speciali, regolamenti nonche' criteri generali in materia di ordinamento degli uffici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Programmazione e pianificazione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Organismi di decentramento e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Modalita' di gestione dei pubblici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e ordinamento dei tributi, con esclusione della determinazione delle relative aliquote; disciplina generale delle tariffe per la fruizione dei beni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Spese che impegnano i bilanci per gli esercizi successivi, escluse quelle relative alle locazioni di immobili ed alla somministrazione e fornitura di beni e servizi a carattere continuativo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commissioni permanenti, temporanee o speciali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valutazione relative all'analisi dell'impatto della regolamentazione (AIR) e alla verifica dell'impatto della regolamentazione (VIR) ai sensi dell'art.14, commi 1 e 4, della legge 28 novembre 2005, n. 246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